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Rutland and Stamford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Rutland and Stamford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Rutland and Stamford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Rutland and Stamford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Rutland and Stamford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Rutland and Stamford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Rutland and Stamford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Rutland and Stamford is estimated to be </w:t>
      </w:r>
      <w:r w:rsidRPr="00773DF7">
        <w:rPr>
          <w:rFonts w:ascii="Libre Franklin Light" w:eastAsia="Times New Roman" w:hAnsi="Libre Franklin Light" w:cs="Calibri Light"/>
          <w:b/>
          <w:bCs/>
          <w:color w:val="C45911" w:themeColor="accent2" w:themeShade="BF"/>
        </w:rPr>
        <w:t xml:space="preserve">£810,862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Rutland and Stamford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Rutland and Stamford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Rutland and Stamford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Rutland and Stamford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tland and Stam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Rutland and Stamford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tland and Stam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Rutland and Stamford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Rutland and Stamford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tland and Stam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Rutland and Stamford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Rutland and Stamford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Rutland and Stamford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35.7%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Rutland and Stamford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Rutland and Stamford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Rutland and Stamford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£810,862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Rutland and Stamford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£13,208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£273,141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£19,567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£489,354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£810,862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Rutland and Stamford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Rutland and Stamford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Rutland and Stamford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Rutland and Stamford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Rutland and Stamford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Rutland and Stamford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Rutland and Stamford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Rutland and Stamford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Rutland and Stamford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Rutland and Stamford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Rutland and Stamford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Rutland and Stamford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BDC156C-4916-40D5-B118-FB2883E80D1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